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BBC9D" w14:textId="77777777" w:rsidR="000D03B9" w:rsidRPr="000D03B9" w:rsidRDefault="000D03B9" w:rsidP="000D03B9">
      <w:pPr>
        <w:rPr>
          <w:rFonts w:ascii="Bechtle Pro" w:eastAsia="Arial" w:hAnsi="Bechtle Pro" w:cs="Arial"/>
          <w:color w:val="075033"/>
          <w:kern w:val="0"/>
          <w:sz w:val="20"/>
          <w:szCs w:val="20"/>
          <w:lang w:eastAsia="de-DE"/>
          <w14:ligatures w14:val="none"/>
        </w:rPr>
      </w:pPr>
      <w:r w:rsidRPr="000D03B9">
        <w:rPr>
          <w:rFonts w:ascii="Bechtle Pro" w:eastAsia="Arial" w:hAnsi="Bechtle Pro" w:cs="Arial"/>
          <w:color w:val="075033"/>
          <w:kern w:val="0"/>
          <w:sz w:val="20"/>
          <w:szCs w:val="20"/>
          <w:lang w:eastAsia="de-DE"/>
          <w14:ligatures w14:val="none"/>
        </w:rPr>
        <w:t>Über Bechtle PLM Deutschland</w:t>
      </w:r>
    </w:p>
    <w:p w14:paraId="002FA888" w14:textId="77777777" w:rsidR="000D03B9" w:rsidRPr="000D03B9" w:rsidRDefault="000D03B9" w:rsidP="000D03B9">
      <w:pPr>
        <w:rPr>
          <w:rFonts w:ascii="Bechtle Pro Light" w:eastAsia="Arial" w:hAnsi="Bechtle Pro Light" w:cs="Arial"/>
          <w:color w:val="075033"/>
          <w:kern w:val="0"/>
          <w:sz w:val="20"/>
          <w:szCs w:val="20"/>
          <w:lang w:eastAsia="de-DE"/>
          <w14:ligatures w14:val="none"/>
        </w:rPr>
      </w:pPr>
      <w:r w:rsidRPr="000D03B9">
        <w:rPr>
          <w:rFonts w:ascii="Bechtle Pro Light" w:eastAsia="Arial" w:hAnsi="Bechtle Pro Light" w:cs="Arial"/>
          <w:color w:val="075033"/>
          <w:kern w:val="0"/>
          <w:sz w:val="20"/>
          <w:szCs w:val="20"/>
          <w:lang w:eastAsia="de-DE"/>
          <w14:ligatures w14:val="none"/>
        </w:rPr>
        <w:t xml:space="preserve">Bechtle PLM Deutschland ist Teil der Bechtle Gruppe, einem der größten IT-Dienstleister in Europa. Als eines der führenden PLM-Systemhäuser in Deutschland unterstützt das Unternehmen seine Kunden dabei, ihr volles Potenzial in der Produktentwicklung und Fertigung zu entfalten und sich erfolgreich im Wettbewerb zu positionieren. Mit mehr als 600 Mitarbeitenden, über 30 Jahren Erfahrung und an über 30 Standorten begleitet Bechtle PLM Unternehmen unterschiedlichster Branchen – vom innovativen Start-up über den industriellen Mittelstand bis hin zu international tätigen Fertigungsunternehmen. Zum Leistungsportfolio zählen Best-in-Class Lösungen und Services in den Bereichen PLM und </w:t>
      </w:r>
      <w:proofErr w:type="spellStart"/>
      <w:r w:rsidRPr="000D03B9">
        <w:rPr>
          <w:rFonts w:ascii="Bechtle Pro Light" w:eastAsia="Arial" w:hAnsi="Bechtle Pro Light" w:cs="Arial"/>
          <w:color w:val="075033"/>
          <w:kern w:val="0"/>
          <w:sz w:val="20"/>
          <w:szCs w:val="20"/>
          <w:lang w:eastAsia="de-DE"/>
          <w14:ligatures w14:val="none"/>
        </w:rPr>
        <w:t>Collaboration</w:t>
      </w:r>
      <w:proofErr w:type="spellEnd"/>
      <w:r w:rsidRPr="000D03B9">
        <w:rPr>
          <w:rFonts w:ascii="Bechtle Pro Light" w:eastAsia="Arial" w:hAnsi="Bechtle Pro Light" w:cs="Arial"/>
          <w:color w:val="075033"/>
          <w:kern w:val="0"/>
          <w:sz w:val="20"/>
          <w:szCs w:val="20"/>
          <w:lang w:eastAsia="de-DE"/>
          <w14:ligatures w14:val="none"/>
        </w:rPr>
        <w:t xml:space="preserve">, Design und Engineering, Simulation und Validation, Digital Factory und Robotics, 3D </w:t>
      </w:r>
      <w:proofErr w:type="spellStart"/>
      <w:r w:rsidRPr="000D03B9">
        <w:rPr>
          <w:rFonts w:ascii="Bechtle Pro Light" w:eastAsia="Arial" w:hAnsi="Bechtle Pro Light" w:cs="Arial"/>
          <w:color w:val="075033"/>
          <w:kern w:val="0"/>
          <w:sz w:val="20"/>
          <w:szCs w:val="20"/>
          <w:lang w:eastAsia="de-DE"/>
          <w14:ligatures w14:val="none"/>
        </w:rPr>
        <w:t>Printing</w:t>
      </w:r>
      <w:proofErr w:type="spellEnd"/>
      <w:r w:rsidRPr="000D03B9">
        <w:rPr>
          <w:rFonts w:ascii="Bechtle Pro Light" w:eastAsia="Arial" w:hAnsi="Bechtle Pro Light" w:cs="Arial"/>
          <w:color w:val="075033"/>
          <w:kern w:val="0"/>
          <w:sz w:val="20"/>
          <w:szCs w:val="20"/>
          <w:lang w:eastAsia="de-DE"/>
          <w14:ligatures w14:val="none"/>
        </w:rPr>
        <w:t xml:space="preserve"> und Smart Manufacturing sowie Technical Communication und Sales – darunter unter anderem etablierte Lösungen von Dassault </w:t>
      </w:r>
      <w:proofErr w:type="spellStart"/>
      <w:r w:rsidRPr="000D03B9">
        <w:rPr>
          <w:rFonts w:ascii="Bechtle Pro Light" w:eastAsia="Arial" w:hAnsi="Bechtle Pro Light" w:cs="Arial"/>
          <w:color w:val="075033"/>
          <w:kern w:val="0"/>
          <w:sz w:val="20"/>
          <w:szCs w:val="20"/>
          <w:lang w:eastAsia="de-DE"/>
          <w14:ligatures w14:val="none"/>
        </w:rPr>
        <w:t>Systèmes</w:t>
      </w:r>
      <w:proofErr w:type="spellEnd"/>
      <w:r w:rsidRPr="000D03B9">
        <w:rPr>
          <w:rFonts w:ascii="Bechtle Pro Light" w:eastAsia="Arial" w:hAnsi="Bechtle Pro Light" w:cs="Arial"/>
          <w:color w:val="075033"/>
          <w:kern w:val="0"/>
          <w:sz w:val="20"/>
          <w:szCs w:val="20"/>
          <w:lang w:eastAsia="de-DE"/>
          <w14:ligatures w14:val="none"/>
        </w:rPr>
        <w:t xml:space="preserve"> wie SOLIDWORKS, CATIA, SIMULIA und die 3DEXPERIENCE Plattform sowie ergänzende Software wie </w:t>
      </w:r>
      <w:proofErr w:type="spellStart"/>
      <w:r w:rsidRPr="000D03B9">
        <w:rPr>
          <w:rFonts w:ascii="Bechtle Pro Light" w:eastAsia="Arial" w:hAnsi="Bechtle Pro Light" w:cs="Arial"/>
          <w:color w:val="075033"/>
          <w:kern w:val="0"/>
          <w:sz w:val="20"/>
          <w:szCs w:val="20"/>
          <w:lang w:eastAsia="de-DE"/>
          <w14:ligatures w14:val="none"/>
        </w:rPr>
        <w:t>DriveWorks</w:t>
      </w:r>
      <w:proofErr w:type="spellEnd"/>
      <w:r w:rsidRPr="000D03B9">
        <w:rPr>
          <w:rFonts w:ascii="Bechtle Pro Light" w:eastAsia="Arial" w:hAnsi="Bechtle Pro Light" w:cs="Arial"/>
          <w:color w:val="075033"/>
          <w:kern w:val="0"/>
          <w:sz w:val="20"/>
          <w:szCs w:val="20"/>
          <w:lang w:eastAsia="de-DE"/>
          <w14:ligatures w14:val="none"/>
        </w:rPr>
        <w:t xml:space="preserve"> und </w:t>
      </w:r>
      <w:proofErr w:type="spellStart"/>
      <w:r w:rsidRPr="000D03B9">
        <w:rPr>
          <w:rFonts w:ascii="Bechtle Pro Light" w:eastAsia="Arial" w:hAnsi="Bechtle Pro Light" w:cs="Arial"/>
          <w:color w:val="075033"/>
          <w:kern w:val="0"/>
          <w:sz w:val="20"/>
          <w:szCs w:val="20"/>
          <w:lang w:eastAsia="de-DE"/>
          <w14:ligatures w14:val="none"/>
        </w:rPr>
        <w:t>SolidCAM</w:t>
      </w:r>
      <w:proofErr w:type="spellEnd"/>
      <w:r w:rsidRPr="000D03B9">
        <w:rPr>
          <w:rFonts w:ascii="Bechtle Pro Light" w:eastAsia="Arial" w:hAnsi="Bechtle Pro Light" w:cs="Arial"/>
          <w:color w:val="075033"/>
          <w:kern w:val="0"/>
          <w:sz w:val="20"/>
          <w:szCs w:val="20"/>
          <w:lang w:eastAsia="de-DE"/>
          <w14:ligatures w14:val="none"/>
        </w:rPr>
        <w:t xml:space="preserve">. </w:t>
      </w:r>
    </w:p>
    <w:p w14:paraId="3F61268C" w14:textId="77777777" w:rsidR="000D03B9" w:rsidRPr="000D03B9" w:rsidRDefault="000D03B9" w:rsidP="000D03B9">
      <w:pPr>
        <w:rPr>
          <w:rFonts w:ascii="Bechtle Pro Light" w:eastAsia="Arial" w:hAnsi="Bechtle Pro Light" w:cs="Arial"/>
          <w:color w:val="075033"/>
          <w:kern w:val="0"/>
          <w:sz w:val="20"/>
          <w:szCs w:val="20"/>
          <w:lang w:eastAsia="de-DE"/>
          <w14:ligatures w14:val="none"/>
        </w:rPr>
      </w:pPr>
      <w:r w:rsidRPr="000D03B9">
        <w:rPr>
          <w:rFonts w:ascii="Bechtle Pro Light" w:eastAsia="Arial" w:hAnsi="Bechtle Pro Light" w:cs="Arial"/>
          <w:color w:val="075033"/>
          <w:kern w:val="0"/>
          <w:sz w:val="20"/>
          <w:szCs w:val="20"/>
          <w:lang w:eastAsia="de-DE"/>
          <w14:ligatures w14:val="none"/>
        </w:rPr>
        <w:t xml:space="preserve">Mehr unter: </w:t>
      </w:r>
      <w:hyperlink r:id="rId4" w:history="1">
        <w:r w:rsidRPr="000D03B9">
          <w:rPr>
            <w:rFonts w:ascii="Bechtle Pro Light" w:eastAsia="Arial" w:hAnsi="Bechtle Pro Light" w:cs="Arial"/>
            <w:color w:val="075033"/>
            <w:kern w:val="0"/>
            <w:sz w:val="20"/>
            <w:szCs w:val="20"/>
            <w:lang w:eastAsia="de-DE"/>
            <w14:ligatures w14:val="none"/>
          </w:rPr>
          <w:t>bechtle-plm.com</w:t>
        </w:r>
      </w:hyperlink>
      <w:r w:rsidRPr="000D03B9">
        <w:rPr>
          <w:rFonts w:ascii="Bechtle Pro Light" w:eastAsia="Arial" w:hAnsi="Bechtle Pro Light" w:cs="Arial"/>
          <w:color w:val="075033"/>
          <w:kern w:val="0"/>
          <w:sz w:val="20"/>
          <w:szCs w:val="20"/>
          <w:lang w:eastAsia="de-DE"/>
          <w14:ligatures w14:val="none"/>
        </w:rPr>
        <w:t xml:space="preserve"> </w:t>
      </w:r>
    </w:p>
    <w:p w14:paraId="52FB0BB7" w14:textId="77777777" w:rsidR="000D03B9" w:rsidRPr="000D03B9" w:rsidRDefault="000D03B9" w:rsidP="000D03B9">
      <w:pPr>
        <w:rPr>
          <w:rFonts w:ascii="Bechtle Pro Light" w:eastAsia="Arial" w:hAnsi="Bechtle Pro Light" w:cs="Arial"/>
          <w:color w:val="075033"/>
          <w:kern w:val="0"/>
          <w:sz w:val="20"/>
          <w:szCs w:val="20"/>
          <w:lang w:eastAsia="de-DE"/>
          <w14:ligatures w14:val="none"/>
        </w:rPr>
      </w:pPr>
    </w:p>
    <w:p w14:paraId="0D10AB18" w14:textId="20540972" w:rsidR="000D03B9" w:rsidRPr="000D03B9" w:rsidRDefault="000D03B9" w:rsidP="000D03B9">
      <w:pPr>
        <w:rPr>
          <w:rFonts w:ascii="Bechtle Pro" w:eastAsia="Arial" w:hAnsi="Bechtle Pro" w:cs="Arial"/>
          <w:color w:val="075033"/>
          <w:kern w:val="0"/>
          <w:sz w:val="20"/>
          <w:szCs w:val="20"/>
          <w:lang w:eastAsia="de-DE"/>
          <w14:ligatures w14:val="none"/>
        </w:rPr>
      </w:pPr>
      <w:r w:rsidRPr="000D03B9">
        <w:rPr>
          <w:rFonts w:ascii="Bechtle Pro" w:eastAsia="Arial" w:hAnsi="Bechtle Pro" w:cs="Arial"/>
          <w:color w:val="075033"/>
          <w:kern w:val="0"/>
          <w:sz w:val="20"/>
          <w:szCs w:val="20"/>
          <w:lang w:eastAsia="de-DE"/>
          <w14:ligatures w14:val="none"/>
        </w:rPr>
        <w:t>Über Bechtle</w:t>
      </w:r>
    </w:p>
    <w:p w14:paraId="53807E9A" w14:textId="77777777" w:rsidR="000D03B9" w:rsidRPr="000D03B9" w:rsidRDefault="000D03B9" w:rsidP="000D03B9">
      <w:pPr>
        <w:rPr>
          <w:rFonts w:ascii="Bechtle Pro Light" w:eastAsia="Arial" w:hAnsi="Bechtle Pro Light" w:cs="Arial"/>
          <w:color w:val="075033"/>
          <w:kern w:val="0"/>
          <w:sz w:val="20"/>
          <w:szCs w:val="20"/>
          <w:lang w:eastAsia="de-DE"/>
          <w14:ligatures w14:val="none"/>
        </w:rPr>
      </w:pPr>
      <w:r w:rsidRPr="000D03B9">
        <w:rPr>
          <w:rFonts w:ascii="Bechtle Pro Light" w:eastAsia="Arial" w:hAnsi="Bechtle Pro Light" w:cs="Arial"/>
          <w:color w:val="075033"/>
          <w:kern w:val="0"/>
          <w:sz w:val="20"/>
          <w:szCs w:val="20"/>
          <w:lang w:eastAsia="de-DE"/>
          <w14:ligatures w14:val="none"/>
        </w:rPr>
        <w:t xml:space="preserve">Bechtle ist einer der führenden IT-Dienstleister in Europa. Wir gestalten zukunftsfähige IT-Architekturen – von klassischer IT-Infrastruktur über Digitalisierung, Multi Cloud, Modern </w:t>
      </w:r>
      <w:proofErr w:type="spellStart"/>
      <w:r w:rsidRPr="000D03B9">
        <w:rPr>
          <w:rFonts w:ascii="Bechtle Pro Light" w:eastAsia="Arial" w:hAnsi="Bechtle Pro Light" w:cs="Arial"/>
          <w:color w:val="075033"/>
          <w:kern w:val="0"/>
          <w:sz w:val="20"/>
          <w:szCs w:val="20"/>
          <w:lang w:eastAsia="de-DE"/>
          <w14:ligatures w14:val="none"/>
        </w:rPr>
        <w:t>Workplace</w:t>
      </w:r>
      <w:proofErr w:type="spellEnd"/>
      <w:r w:rsidRPr="000D03B9">
        <w:rPr>
          <w:rFonts w:ascii="Bechtle Pro Light" w:eastAsia="Arial" w:hAnsi="Bechtle Pro Light" w:cs="Arial"/>
          <w:color w:val="075033"/>
          <w:kern w:val="0"/>
          <w:sz w:val="20"/>
          <w:szCs w:val="20"/>
          <w:lang w:eastAsia="de-DE"/>
          <w14:ligatures w14:val="none"/>
        </w:rPr>
        <w:t xml:space="preserve"> und Security bis Künstliche Intelligenz und </w:t>
      </w:r>
      <w:proofErr w:type="spellStart"/>
      <w:r w:rsidRPr="000D03B9">
        <w:rPr>
          <w:rFonts w:ascii="Bechtle Pro Light" w:eastAsia="Arial" w:hAnsi="Bechtle Pro Light" w:cs="Arial"/>
          <w:color w:val="075033"/>
          <w:kern w:val="0"/>
          <w:sz w:val="20"/>
          <w:szCs w:val="20"/>
          <w:lang w:eastAsia="de-DE"/>
          <w14:ligatures w14:val="none"/>
        </w:rPr>
        <w:t>Managed</w:t>
      </w:r>
      <w:proofErr w:type="spellEnd"/>
      <w:r w:rsidRPr="000D03B9">
        <w:rPr>
          <w:rFonts w:ascii="Bechtle Pro Light" w:eastAsia="Arial" w:hAnsi="Bechtle Pro Light" w:cs="Arial"/>
          <w:color w:val="075033"/>
          <w:kern w:val="0"/>
          <w:sz w:val="20"/>
          <w:szCs w:val="20"/>
          <w:lang w:eastAsia="de-DE"/>
          <w14:ligatures w14:val="none"/>
        </w:rPr>
        <w:t xml:space="preserve"> Services. Dabei stärken wir gezielt die digitale Souveränität unserer Kunden, indem wir technologische Selbstbestimmung, Transparenz und Resilienz ganzheitlich verankern. Mit unseren Tochterunternehmen zählen wir zu den führenden Spezialisten für Business </w:t>
      </w:r>
      <w:proofErr w:type="spellStart"/>
      <w:r w:rsidRPr="000D03B9">
        <w:rPr>
          <w:rFonts w:ascii="Bechtle Pro Light" w:eastAsia="Arial" w:hAnsi="Bechtle Pro Light" w:cs="Arial"/>
          <w:color w:val="075033"/>
          <w:kern w:val="0"/>
          <w:sz w:val="20"/>
          <w:szCs w:val="20"/>
          <w:lang w:eastAsia="de-DE"/>
          <w14:ligatures w14:val="none"/>
        </w:rPr>
        <w:t>Applications</w:t>
      </w:r>
      <w:proofErr w:type="spellEnd"/>
      <w:r w:rsidRPr="000D03B9">
        <w:rPr>
          <w:rFonts w:ascii="Bechtle Pro Light" w:eastAsia="Arial" w:hAnsi="Bechtle Pro Light" w:cs="Arial"/>
          <w:color w:val="075033"/>
          <w:kern w:val="0"/>
          <w:sz w:val="20"/>
          <w:szCs w:val="20"/>
          <w:lang w:eastAsia="de-DE"/>
          <w14:ligatures w14:val="none"/>
        </w:rPr>
        <w:t xml:space="preserve">, allen voran PLM und ERP. Unsere </w:t>
      </w:r>
      <w:proofErr w:type="spellStart"/>
      <w:r w:rsidRPr="000D03B9">
        <w:rPr>
          <w:rFonts w:ascii="Bechtle Pro Light" w:eastAsia="Arial" w:hAnsi="Bechtle Pro Light" w:cs="Arial"/>
          <w:color w:val="075033"/>
          <w:kern w:val="0"/>
          <w:sz w:val="20"/>
          <w:szCs w:val="20"/>
          <w:lang w:eastAsia="de-DE"/>
          <w14:ligatures w14:val="none"/>
        </w:rPr>
        <w:t>Multichannel</w:t>
      </w:r>
      <w:proofErr w:type="spellEnd"/>
      <w:r w:rsidRPr="000D03B9">
        <w:rPr>
          <w:rFonts w:ascii="Bechtle Pro Light" w:eastAsia="Arial" w:hAnsi="Bechtle Pro Light" w:cs="Arial"/>
          <w:color w:val="075033"/>
          <w:kern w:val="0"/>
          <w:sz w:val="20"/>
          <w:szCs w:val="20"/>
          <w:lang w:eastAsia="de-DE"/>
          <w14:ligatures w14:val="none"/>
        </w:rPr>
        <w:t xml:space="preserve">-Strategie verbindet persönliche Betreuung an über 120 Standorten in 14 europäischen Ländern mit digitalen Services und globaler Zusammenarbeit. Wir sind mit mehr als 16.000 Mitarbeitenden immer in der Nähe unserer Kunden – ob Mittelstand, Konzern oder Public </w:t>
      </w:r>
      <w:proofErr w:type="spellStart"/>
      <w:r w:rsidRPr="000D03B9">
        <w:rPr>
          <w:rFonts w:ascii="Bechtle Pro Light" w:eastAsia="Arial" w:hAnsi="Bechtle Pro Light" w:cs="Arial"/>
          <w:color w:val="075033"/>
          <w:kern w:val="0"/>
          <w:sz w:val="20"/>
          <w:szCs w:val="20"/>
          <w:lang w:eastAsia="de-DE"/>
          <w14:ligatures w14:val="none"/>
        </w:rPr>
        <w:t>Sector</w:t>
      </w:r>
      <w:proofErr w:type="spellEnd"/>
      <w:r w:rsidRPr="000D03B9">
        <w:rPr>
          <w:rFonts w:ascii="Bechtle Pro Light" w:eastAsia="Arial" w:hAnsi="Bechtle Pro Light" w:cs="Arial"/>
          <w:color w:val="075033"/>
          <w:kern w:val="0"/>
          <w:sz w:val="20"/>
          <w:szCs w:val="20"/>
          <w:lang w:eastAsia="de-DE"/>
          <w14:ligatures w14:val="none"/>
        </w:rPr>
        <w:t xml:space="preserve">. Bechtle ist im MDAX und im TecDAX notiert. 2025 lag der Umsatz bei 6,41 Mrd. €. Mehr unter: </w:t>
      </w:r>
      <w:hyperlink r:id="rId5" w:history="1">
        <w:r w:rsidRPr="000D03B9">
          <w:rPr>
            <w:rFonts w:ascii="Bechtle Pro Light" w:eastAsia="Arial" w:hAnsi="Bechtle Pro Light" w:cs="Arial"/>
            <w:color w:val="075033"/>
            <w:kern w:val="0"/>
            <w:sz w:val="20"/>
            <w:szCs w:val="20"/>
            <w:lang w:eastAsia="de-DE"/>
            <w14:ligatures w14:val="none"/>
          </w:rPr>
          <w:t>bechtle.com</w:t>
        </w:r>
      </w:hyperlink>
    </w:p>
    <w:p w14:paraId="41A429E6" w14:textId="77777777" w:rsidR="00C73CCE" w:rsidRPr="000D03B9" w:rsidRDefault="00C73CCE">
      <w:pPr>
        <w:rPr>
          <w:rFonts w:ascii="Bechtle Pro" w:hAnsi="Bechtle Pro"/>
          <w:sz w:val="20"/>
          <w:szCs w:val="20"/>
        </w:rPr>
      </w:pPr>
    </w:p>
    <w:sectPr w:rsidR="00C73CCE" w:rsidRPr="000D03B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Bechtle Pro">
    <w:altName w:val="Calibri"/>
    <w:panose1 w:val="020C0500020203020204"/>
    <w:charset w:val="00"/>
    <w:family w:val="swiss"/>
    <w:pitch w:val="variable"/>
    <w:sig w:usb0="A000006F"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Bechtle Pro Light">
    <w:altName w:val="Calibri"/>
    <w:charset w:val="00"/>
    <w:family w:val="swiss"/>
    <w:pitch w:val="variable"/>
    <w:sig w:usb0="A000006F" w:usb1="00000001" w:usb2="000000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3B9"/>
    <w:rsid w:val="000D03B9"/>
    <w:rsid w:val="00347A25"/>
    <w:rsid w:val="003A34B2"/>
    <w:rsid w:val="00C73CCE"/>
    <w:rsid w:val="00DB0D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A60FE"/>
  <w15:chartTrackingRefBased/>
  <w15:docId w15:val="{CAE45B69-5AEA-44A4-9CFC-EE0F34722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D03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D03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D03B9"/>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D03B9"/>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D03B9"/>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D03B9"/>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D03B9"/>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D03B9"/>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D03B9"/>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D03B9"/>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D03B9"/>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D03B9"/>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D03B9"/>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D03B9"/>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D03B9"/>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D03B9"/>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D03B9"/>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D03B9"/>
    <w:rPr>
      <w:rFonts w:eastAsiaTheme="majorEastAsia" w:cstheme="majorBidi"/>
      <w:color w:val="272727" w:themeColor="text1" w:themeTint="D8"/>
    </w:rPr>
  </w:style>
  <w:style w:type="paragraph" w:styleId="Titel">
    <w:name w:val="Title"/>
    <w:basedOn w:val="Standard"/>
    <w:next w:val="Standard"/>
    <w:link w:val="TitelZchn"/>
    <w:uiPriority w:val="10"/>
    <w:qFormat/>
    <w:rsid w:val="000D03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D03B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D03B9"/>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D03B9"/>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D03B9"/>
    <w:pPr>
      <w:spacing w:before="160"/>
      <w:jc w:val="center"/>
    </w:pPr>
    <w:rPr>
      <w:i/>
      <w:iCs/>
      <w:color w:val="404040" w:themeColor="text1" w:themeTint="BF"/>
    </w:rPr>
  </w:style>
  <w:style w:type="character" w:customStyle="1" w:styleId="ZitatZchn">
    <w:name w:val="Zitat Zchn"/>
    <w:basedOn w:val="Absatz-Standardschriftart"/>
    <w:link w:val="Zitat"/>
    <w:uiPriority w:val="29"/>
    <w:rsid w:val="000D03B9"/>
    <w:rPr>
      <w:i/>
      <w:iCs/>
      <w:color w:val="404040" w:themeColor="text1" w:themeTint="BF"/>
    </w:rPr>
  </w:style>
  <w:style w:type="paragraph" w:styleId="Listenabsatz">
    <w:name w:val="List Paragraph"/>
    <w:basedOn w:val="Standard"/>
    <w:uiPriority w:val="34"/>
    <w:qFormat/>
    <w:rsid w:val="000D03B9"/>
    <w:pPr>
      <w:ind w:left="720"/>
      <w:contextualSpacing/>
    </w:pPr>
  </w:style>
  <w:style w:type="character" w:styleId="IntensiveHervorhebung">
    <w:name w:val="Intense Emphasis"/>
    <w:basedOn w:val="Absatz-Standardschriftart"/>
    <w:uiPriority w:val="21"/>
    <w:qFormat/>
    <w:rsid w:val="000D03B9"/>
    <w:rPr>
      <w:i/>
      <w:iCs/>
      <w:color w:val="0F4761" w:themeColor="accent1" w:themeShade="BF"/>
    </w:rPr>
  </w:style>
  <w:style w:type="paragraph" w:styleId="IntensivesZitat">
    <w:name w:val="Intense Quote"/>
    <w:basedOn w:val="Standard"/>
    <w:next w:val="Standard"/>
    <w:link w:val="IntensivesZitatZchn"/>
    <w:uiPriority w:val="30"/>
    <w:qFormat/>
    <w:rsid w:val="000D03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D03B9"/>
    <w:rPr>
      <w:i/>
      <w:iCs/>
      <w:color w:val="0F4761" w:themeColor="accent1" w:themeShade="BF"/>
    </w:rPr>
  </w:style>
  <w:style w:type="character" w:styleId="IntensiverVerweis">
    <w:name w:val="Intense Reference"/>
    <w:basedOn w:val="Absatz-Standardschriftart"/>
    <w:uiPriority w:val="32"/>
    <w:qFormat/>
    <w:rsid w:val="000D03B9"/>
    <w:rPr>
      <w:b/>
      <w:bCs/>
      <w:smallCaps/>
      <w:color w:val="0F4761" w:themeColor="accent1" w:themeShade="BF"/>
      <w:spacing w:val="5"/>
    </w:rPr>
  </w:style>
  <w:style w:type="character" w:styleId="Hyperlink">
    <w:name w:val="Hyperlink"/>
    <w:basedOn w:val="Absatz-Standardschriftart"/>
    <w:uiPriority w:val="99"/>
    <w:unhideWhenUsed/>
    <w:rsid w:val="000D03B9"/>
    <w:rPr>
      <w:color w:val="467886" w:themeColor="hyperlink"/>
      <w:u w:val="single"/>
    </w:rPr>
  </w:style>
  <w:style w:type="character" w:styleId="NichtaufgelsteErwhnung">
    <w:name w:val="Unresolved Mention"/>
    <w:basedOn w:val="Absatz-Standardschriftart"/>
    <w:uiPriority w:val="99"/>
    <w:semiHidden/>
    <w:unhideWhenUsed/>
    <w:rsid w:val="000D03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bechtle.com" TargetMode="External"/><Relationship Id="rId10" Type="http://schemas.openxmlformats.org/officeDocument/2006/relationships/customXml" Target="../customXml/item3.xml"/><Relationship Id="rId4" Type="http://schemas.openxmlformats.org/officeDocument/2006/relationships/hyperlink" Target="https://www.bechtle-plm.com/" TargetMode="External"/><Relationship Id="rId9" Type="http://schemas.openxmlformats.org/officeDocument/2006/relationships/customXml" Target="../customXml/item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12A8C986AA8C241A3787CB860785196" ma:contentTypeVersion="16" ma:contentTypeDescription="Ein neues Dokument erstellen." ma:contentTypeScope="" ma:versionID="39ef4e2cc8d79e9962b04cec2bb1a99e">
  <xsd:schema xmlns:xsd="http://www.w3.org/2001/XMLSchema" xmlns:xs="http://www.w3.org/2001/XMLSchema" xmlns:p="http://schemas.microsoft.com/office/2006/metadata/properties" xmlns:ns2="dc0d69ab-0792-468f-860b-c91ca18c5339" xmlns:ns3="31b3f5fc-cf46-437a-9d24-5c63f226a6cb" targetNamespace="http://schemas.microsoft.com/office/2006/metadata/properties" ma:root="true" ma:fieldsID="cf4398e8a1d9eb6b6dee1e2b97141c81" ns2:_="" ns3:_="">
    <xsd:import namespace="dc0d69ab-0792-468f-860b-c91ca18c5339"/>
    <xsd:import namespace="31b3f5fc-cf46-437a-9d24-5c63f226a6cb"/>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0d69ab-0792-468f-860b-c91ca18c5339"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bf988f6e-9c75-4948-87ff-2fe1134df917"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b3f5fc-cf46-437a-9d24-5c63f226a6cb"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f2837918-1cf6-4340-a68a-2501b97ca758}" ma:internalName="TaxCatchAll" ma:showField="CatchAllData" ma:web="31b3f5fc-cf46-437a-9d24-5c63f226a6c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c0d69ab-0792-468f-860b-c91ca18c5339">
      <Terms xmlns="http://schemas.microsoft.com/office/infopath/2007/PartnerControls"/>
    </lcf76f155ced4ddcb4097134ff3c332f>
    <TaxCatchAll xmlns="31b3f5fc-cf46-437a-9d24-5c63f226a6cb" xsi:nil="true"/>
  </documentManagement>
</p:properties>
</file>

<file path=customXml/itemProps1.xml><?xml version="1.0" encoding="utf-8"?>
<ds:datastoreItem xmlns:ds="http://schemas.openxmlformats.org/officeDocument/2006/customXml" ds:itemID="{456A8257-E43F-49AD-BABC-FA7284C86B9F}"/>
</file>

<file path=customXml/itemProps2.xml><?xml version="1.0" encoding="utf-8"?>
<ds:datastoreItem xmlns:ds="http://schemas.openxmlformats.org/officeDocument/2006/customXml" ds:itemID="{57E483F1-1D18-4CA8-A825-D85B022E3848}"/>
</file>

<file path=customXml/itemProps3.xml><?xml version="1.0" encoding="utf-8"?>
<ds:datastoreItem xmlns:ds="http://schemas.openxmlformats.org/officeDocument/2006/customXml" ds:itemID="{D219364F-8316-45F9-82FA-60B8410170B8}"/>
</file>

<file path=docProps/app.xml><?xml version="1.0" encoding="utf-8"?>
<Properties xmlns="http://schemas.openxmlformats.org/officeDocument/2006/extended-properties" xmlns:vt="http://schemas.openxmlformats.org/officeDocument/2006/docPropsVTypes">
  <Template>Normal</Template>
  <TotalTime>0</TotalTime>
  <Pages>1</Pages>
  <Words>291</Words>
  <Characters>1839</Characters>
  <Application>Microsoft Office Word</Application>
  <DocSecurity>0</DocSecurity>
  <Lines>15</Lines>
  <Paragraphs>4</Paragraphs>
  <ScaleCrop>false</ScaleCrop>
  <Company/>
  <LinksUpToDate>false</LinksUpToDate>
  <CharactersWithSpaces>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Kipar, Sandro</dc:creator>
  <cp:keywords/>
  <dc:description/>
  <cp:lastModifiedBy>Kipar, Sandro</cp:lastModifiedBy>
  <cp:revision>1</cp:revision>
  <dcterms:created xsi:type="dcterms:W3CDTF">2026-08-18T09:47:00Z</dcterms:created>
  <dcterms:modified xsi:type="dcterms:W3CDTF">2026-08-18T09:50:00Z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0x010100A12A8C986AA8C241A3787CB860785196</vt:lpwstr>
  </property>
</Properties>
</file>